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pStyle w:val="Style_3"/>
      </w:pP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align>center</wp:align>
            </wp:positionH>
            <wp:positionV relativeFrom="paragraph">
              <wp:posOffset>-549910</wp:posOffset>
            </wp:positionV>
            <wp:extent cx="899795" cy="899795"/>
            <wp:wrapNone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899795" cy="89979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A000000"/>
    <w:p w14:paraId="0B000000">
      <w:pPr>
        <w:pStyle w:val="Style_3"/>
        <w:rPr>
          <w:sz w:val="20"/>
        </w:rPr>
      </w:pPr>
    </w:p>
    <w:tbl>
      <w:tblPr>
        <w:tblStyle w:val="Style_4"/>
        <w:tblW w:type="auto" w:w="0"/>
        <w:tblLayout w:type="fixed"/>
        <w:tblCellMar>
          <w:left w:type="dxa" w:w="28"/>
          <w:right w:type="dxa" w:w="28"/>
        </w:tblCellMar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247"/>
      </w:tblGrid>
      <w:tr>
        <w:trPr>
          <w:trHeight w:hRule="atLeast" w:val="1314"/>
        </w:trP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 w14:paraId="0C000000">
            <w:pPr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КЕМЕРОВСКАЯ ОБЛАСТЬ – КУЗБАСС </w:t>
            </w:r>
          </w:p>
          <w:p w14:paraId="0D000000">
            <w:pPr>
              <w:widowControl w:val="1"/>
              <w:ind/>
              <w:jc w:val="center"/>
              <w:rPr>
                <w:b w:val="1"/>
                <w:sz w:val="28"/>
              </w:rPr>
            </w:pPr>
          </w:p>
          <w:p w14:paraId="0E000000">
            <w:pPr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caps w:val="1"/>
                <w:sz w:val="28"/>
              </w:rPr>
              <w:t>администрация</w:t>
            </w:r>
            <w:r>
              <w:rPr>
                <w:b w:val="1"/>
                <w:sz w:val="28"/>
              </w:rPr>
              <w:t xml:space="preserve"> </w:t>
            </w:r>
            <w:r>
              <w:rPr>
                <w:b w:val="1"/>
                <w:sz w:val="28"/>
              </w:rPr>
              <w:t xml:space="preserve">ЛЕНИНСК-КУЗНЕЦКОГО </w:t>
            </w:r>
            <w:r>
              <w:rPr>
                <w:b w:val="1"/>
                <w:sz w:val="28"/>
              </w:rPr>
              <w:br/>
            </w:r>
            <w:r>
              <w:rPr>
                <w:b w:val="1"/>
                <w:sz w:val="28"/>
              </w:rPr>
              <w:t>МУНИЦИПАЛЬНОГО ОКРУГА</w:t>
            </w:r>
          </w:p>
        </w:tc>
      </w:tr>
      <w:tr>
        <w:trPr>
          <w:trHeight w:hRule="exact" w:val="397"/>
        </w:trP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 w14:paraId="0F000000">
            <w:pPr>
              <w:widowControl w:val="1"/>
              <w:spacing w:line="360" w:lineRule="auto"/>
              <w:ind/>
              <w:jc w:val="center"/>
              <w:rPr>
                <w:b w:val="1"/>
                <w:sz w:val="28"/>
              </w:rPr>
            </w:pPr>
          </w:p>
        </w:tc>
      </w:tr>
      <w:tr>
        <w:trPr>
          <w:trHeight w:hRule="atLeast" w:val="399"/>
        </w:trP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 w14:paraId="10000000">
            <w:pPr>
              <w:widowControl w:val="1"/>
              <w:ind/>
              <w:jc w:val="center"/>
              <w:rPr>
                <w:caps w:val="1"/>
              </w:rPr>
            </w:pPr>
            <w:r>
              <w:rPr>
                <w:b w:val="1"/>
                <w:caps w:val="1"/>
                <w:sz w:val="36"/>
              </w:rPr>
              <w:t>постановление</w:t>
            </w:r>
            <w:r>
              <w:rPr>
                <w:b w:val="1"/>
                <w:caps w:val="1"/>
                <w:sz w:val="36"/>
              </w:rPr>
              <w:t xml:space="preserve"> </w:t>
            </w:r>
          </w:p>
        </w:tc>
      </w:tr>
      <w:tr>
        <w:trPr>
          <w:trHeight w:hRule="exact" w:val="397"/>
        </w:trP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 w14:paraId="11000000">
            <w:pPr>
              <w:widowControl w:val="1"/>
              <w:spacing w:line="360" w:lineRule="auto"/>
              <w:ind/>
              <w:jc w:val="center"/>
              <w:rPr>
                <w:b w:val="1"/>
                <w:sz w:val="36"/>
              </w:rPr>
            </w:pPr>
          </w:p>
        </w:tc>
      </w:tr>
      <w:tr>
        <w:tc>
          <w:tcPr>
            <w:tcW w:type="dxa" w:w="2552"/>
            <w:gridSpan w:val="2"/>
            <w:tcMar>
              <w:left w:type="dxa" w:w="0"/>
              <w:right w:type="dxa" w:w="0"/>
            </w:tcMar>
          </w:tcPr>
          <w:p w14:paraId="12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</w:p>
        </w:tc>
        <w:tc>
          <w:tcPr>
            <w:tcW w:type="dxa" w:w="283"/>
            <w:tcMar>
              <w:left w:type="dxa" w:w="28"/>
              <w:right w:type="dxa" w:w="28"/>
            </w:tcMar>
          </w:tcPr>
          <w:p w14:paraId="13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  <w:r>
              <w:t>от</w:t>
            </w:r>
          </w:p>
        </w:tc>
        <w:tc>
          <w:tcPr>
            <w:tcW w:type="dxa" w:w="2268"/>
            <w:tcBorders>
              <w:bottom w:color="000000" w:sz="4" w:val="single"/>
            </w:tcBorders>
            <w:tcMar>
              <w:left w:type="dxa" w:w="28"/>
              <w:right w:type="dxa" w:w="28"/>
            </w:tcMar>
          </w:tcPr>
          <w:p w14:paraId="14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  <w:r>
              <w:t>15.05.2026</w:t>
            </w:r>
          </w:p>
        </w:tc>
        <w:tc>
          <w:tcPr>
            <w:tcW w:type="dxa" w:w="284"/>
            <w:tcMar>
              <w:left w:type="dxa" w:w="28"/>
              <w:right w:type="dxa" w:w="28"/>
            </w:tcMar>
          </w:tcPr>
          <w:p w14:paraId="15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  <w: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left w:type="dxa" w:w="28"/>
              <w:right w:type="dxa" w:w="28"/>
            </w:tcMar>
          </w:tcPr>
          <w:p w14:paraId="16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  <w:r>
              <w:t>1282</w:t>
            </w:r>
          </w:p>
        </w:tc>
        <w:tc>
          <w:tcPr>
            <w:tcW w:type="dxa" w:w="2522"/>
            <w:gridSpan w:val="2"/>
            <w:tcMar>
              <w:left w:type="dxa" w:w="28"/>
              <w:right w:type="dxa" w:w="28"/>
            </w:tcMar>
          </w:tcPr>
          <w:p w14:paraId="17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</w:p>
        </w:tc>
      </w:tr>
      <w:tr>
        <w:trPr>
          <w:trHeight w:hRule="exact" w:val="113"/>
        </w:trP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 w14:paraId="18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</w:p>
        </w:tc>
      </w:tr>
      <w:t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 w14:paraId="19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  <w:r>
              <w:t>г. Ленинск-Кузнецкий</w:t>
            </w:r>
          </w:p>
        </w:tc>
      </w:tr>
      <w:tr>
        <w:trPr>
          <w:trHeight w:hRule="exact" w:val="567"/>
        </w:trP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 w14:paraId="1A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</w:pPr>
          </w:p>
        </w:tc>
      </w:tr>
      <w:tr>
        <w:tc>
          <w:tcPr>
            <w:tcW w:type="dxa" w:w="1134"/>
            <w:tcMar>
              <w:left w:type="dxa" w:w="0"/>
              <w:right w:type="dxa" w:w="0"/>
            </w:tcMar>
          </w:tcPr>
          <w:p w14:paraId="1B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</w:p>
        </w:tc>
        <w:tc>
          <w:tcPr>
            <w:tcW w:type="dxa" w:w="6804"/>
            <w:gridSpan w:val="6"/>
            <w:tcMar>
              <w:left w:type="dxa" w:w="28"/>
              <w:right w:type="dxa" w:w="28"/>
            </w:tcMar>
          </w:tcPr>
          <w:p w14:paraId="1C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О признании </w:t>
            </w:r>
            <w:r>
              <w:rPr>
                <w:b w:val="1"/>
              </w:rPr>
              <w:t>жилого помещения</w:t>
            </w:r>
            <w:r>
              <w:rPr>
                <w:b w:val="1"/>
              </w:rPr>
              <w:t xml:space="preserve"> по адресу:                                 </w:t>
            </w:r>
            <w:r>
              <w:rPr>
                <w:b w:val="1"/>
              </w:rPr>
              <w:t>Л</w:t>
            </w:r>
            <w:r>
              <w:rPr>
                <w:b w:val="1"/>
              </w:rPr>
              <w:t>е</w:t>
            </w:r>
            <w:r>
              <w:rPr>
                <w:b w:val="1"/>
              </w:rPr>
              <w:t xml:space="preserve">нинск-Кузнецкий муниципальный округ, </w:t>
            </w:r>
          </w:p>
          <w:p w14:paraId="1D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  <w:rPr>
                <w:b w:val="1"/>
              </w:rPr>
            </w:pPr>
            <w:r>
              <w:rPr>
                <w:b w:val="1"/>
              </w:rPr>
              <w:t>г</w:t>
            </w:r>
            <w:r>
              <w:rPr>
                <w:b w:val="1"/>
              </w:rPr>
              <w:t xml:space="preserve">. </w:t>
            </w:r>
            <w:r>
              <w:rPr>
                <w:b w:val="1"/>
              </w:rPr>
              <w:t>Ленинск-Кузнецкий</w:t>
            </w:r>
            <w:r>
              <w:rPr>
                <w:b w:val="1"/>
              </w:rPr>
              <w:t xml:space="preserve">, </w:t>
            </w:r>
            <w:r>
              <w:rPr>
                <w:b w:val="1"/>
              </w:rPr>
              <w:t>ул</w:t>
            </w:r>
            <w:r>
              <w:rPr>
                <w:b w:val="1"/>
              </w:rPr>
              <w:t xml:space="preserve">. </w:t>
            </w:r>
            <w:r>
              <w:rPr>
                <w:b w:val="1"/>
              </w:rPr>
              <w:t>Северная</w:t>
            </w:r>
            <w:r>
              <w:rPr>
                <w:b w:val="1"/>
              </w:rPr>
              <w:t xml:space="preserve">, д. </w:t>
            </w:r>
            <w:r>
              <w:rPr>
                <w:b w:val="1"/>
              </w:rPr>
              <w:t>7</w:t>
            </w:r>
            <w:r>
              <w:rPr>
                <w:b w:val="1"/>
              </w:rPr>
              <w:t xml:space="preserve">,  </w:t>
            </w:r>
            <w:r>
              <w:rPr>
                <w:b w:val="1"/>
              </w:rPr>
              <w:t xml:space="preserve">               </w:t>
            </w:r>
            <w:r>
              <w:rPr>
                <w:b w:val="1"/>
              </w:rPr>
              <w:t xml:space="preserve">                              </w:t>
            </w:r>
            <w:r>
              <w:rPr>
                <w:b w:val="1"/>
              </w:rPr>
              <w:t>н</w:t>
            </w:r>
            <w:r>
              <w:rPr>
                <w:b w:val="1"/>
              </w:rPr>
              <w:t>е</w:t>
            </w:r>
            <w:r>
              <w:rPr>
                <w:b w:val="1"/>
              </w:rPr>
              <w:t>пригодным для проживания</w:t>
            </w:r>
            <w:r>
              <w:rPr>
                <w:b w:val="1"/>
              </w:rPr>
              <w:t xml:space="preserve">  </w:t>
            </w:r>
          </w:p>
        </w:tc>
        <w:tc>
          <w:tcPr>
            <w:tcW w:type="dxa" w:w="1247"/>
            <w:tcMar>
              <w:left w:type="dxa" w:w="28"/>
              <w:right w:type="dxa" w:w="28"/>
            </w:tcMar>
          </w:tcPr>
          <w:p w14:paraId="1E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</w:p>
        </w:tc>
      </w:tr>
      <w:tr>
        <w:trPr>
          <w:trHeight w:hRule="exact" w:val="567"/>
        </w:trP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/>
        </w:tc>
      </w:tr>
    </w:tbl>
    <w:p w14:paraId="1F000000">
      <w:pPr>
        <w:pStyle w:val="Style_5"/>
      </w:pPr>
      <w:r>
        <w:t xml:space="preserve">Руководствуясь постановлением Правительства  Российской Федерации  от  28.01.2006 № 47 «Об утверждении  Положения о признании помещения  жилым  </w:t>
      </w:r>
      <w:r>
        <w:t xml:space="preserve">       </w:t>
      </w:r>
      <w:r>
        <w:t>помещением, жилого помещения непригодным для проживания, многоквартирного д</w:t>
      </w:r>
      <w:r>
        <w:t>о</w:t>
      </w:r>
      <w:r>
        <w:t>ма  аварийным и подлежащим сносу или реконструкции, с</w:t>
      </w:r>
      <w:r>
        <w:t>а</w:t>
      </w:r>
      <w:r>
        <w:t>дового дома жилым домом и  жилого дома садовым домом», в соответствии с заключением межве</w:t>
      </w:r>
      <w:r>
        <w:t>домственной       комиссии от 2</w:t>
      </w:r>
      <w:r>
        <w:t>9</w:t>
      </w:r>
      <w:r>
        <w:t>.0</w:t>
      </w:r>
      <w:r>
        <w:t>4</w:t>
      </w:r>
      <w:r>
        <w:t>.</w:t>
      </w:r>
      <w:r>
        <w:t xml:space="preserve">2026 № </w:t>
      </w:r>
      <w:r>
        <w:t>8</w:t>
      </w:r>
      <w:r>
        <w:t xml:space="preserve"> п о с т а н о в л я ю:</w:t>
      </w:r>
    </w:p>
    <w:p w14:paraId="20000000">
      <w:pPr>
        <w:widowControl w:val="1"/>
        <w:spacing w:line="360" w:lineRule="auto"/>
        <w:ind w:firstLine="709"/>
        <w:jc w:val="both"/>
      </w:pPr>
      <w:r>
        <w:t xml:space="preserve">1. </w:t>
      </w:r>
      <w:r>
        <w:t xml:space="preserve">Признать жилое помещение по адресу: Ленинск-Кузнецкий муниципальный округ, </w:t>
      </w:r>
      <w:r>
        <w:t>г</w:t>
      </w:r>
      <w:r>
        <w:t xml:space="preserve">. </w:t>
      </w:r>
      <w:r>
        <w:t>Ленинск-Кузнецкий</w:t>
      </w:r>
      <w:r>
        <w:t xml:space="preserve">, </w:t>
      </w:r>
      <w:r>
        <w:t>ул</w:t>
      </w:r>
      <w:r>
        <w:t xml:space="preserve">. </w:t>
      </w:r>
      <w:r>
        <w:t>Северная</w:t>
      </w:r>
      <w:r>
        <w:t xml:space="preserve">, </w:t>
      </w:r>
      <w:r>
        <w:t xml:space="preserve">д. </w:t>
      </w:r>
      <w:r>
        <w:t>7</w:t>
      </w:r>
      <w:r>
        <w:t>, непригодным для прожив</w:t>
      </w:r>
      <w:r>
        <w:t>а</w:t>
      </w:r>
      <w:r>
        <w:t>ния.</w:t>
      </w:r>
    </w:p>
    <w:p w14:paraId="21000000">
      <w:pPr>
        <w:widowControl w:val="1"/>
        <w:spacing w:line="360" w:lineRule="auto"/>
        <w:ind w:firstLine="709"/>
        <w:jc w:val="both"/>
      </w:pPr>
      <w:r>
        <w:t>2. Собственнику жилого помещения, указанного в пункте 1 настоящего                постановления, в целях дальнейшего проживания провести ремон</w:t>
      </w:r>
      <w:r>
        <w:t>т</w:t>
      </w:r>
      <w:r>
        <w:t>но-восстановительные работы либо самостоятельно осуществить снос жилого помещ</w:t>
      </w:r>
      <w:r>
        <w:t>е</w:t>
      </w:r>
      <w:r>
        <w:t xml:space="preserve">ния. </w:t>
      </w:r>
    </w:p>
    <w:p w14:paraId="22000000">
      <w:pPr>
        <w:widowControl w:val="1"/>
        <w:spacing w:line="360" w:lineRule="auto"/>
        <w:ind w:firstLine="709"/>
        <w:jc w:val="both"/>
      </w:pPr>
      <w:r>
        <w:t xml:space="preserve">3. Межведомственной комиссии ознакомить собственника жилого помещения, расположенного по адресу: Ленинск-Кузнецкий муниципальный округ, </w:t>
      </w:r>
      <w:r>
        <w:t>г. Ленинск-Кузнецкий</w:t>
      </w:r>
      <w:r>
        <w:t xml:space="preserve">, </w:t>
      </w:r>
      <w:r>
        <w:t xml:space="preserve">ул. Северная, </w:t>
      </w:r>
      <w:r>
        <w:t xml:space="preserve">д. </w:t>
      </w:r>
      <w:r>
        <w:t>7</w:t>
      </w:r>
      <w:r>
        <w:t>, с настоящим постановлением.</w:t>
      </w:r>
    </w:p>
    <w:p w14:paraId="23000000">
      <w:pPr>
        <w:widowControl w:val="1"/>
        <w:spacing w:line="360" w:lineRule="auto"/>
        <w:ind w:firstLine="709"/>
        <w:jc w:val="both"/>
      </w:pPr>
      <w:r>
        <w:t>4. Направить настоящее постановление в орган, осуществляющий                      государственную регистрацию прав на н</w:t>
      </w:r>
      <w:r>
        <w:t>е</w:t>
      </w:r>
      <w:r>
        <w:t>движимое имущество и сделок с ним.</w:t>
      </w:r>
    </w:p>
    <w:p w14:paraId="24000000">
      <w:pPr>
        <w:widowControl w:val="1"/>
        <w:spacing w:line="360" w:lineRule="auto"/>
        <w:ind w:firstLine="709"/>
        <w:jc w:val="both"/>
        <w:rPr>
          <w:spacing w:val="-4"/>
        </w:rPr>
      </w:pPr>
      <w:r>
        <w:t xml:space="preserve">5. Разместить настоящее постановление на официальном сайте администрации </w:t>
      </w:r>
      <w:r>
        <w:rPr>
          <w:spacing w:val="-4"/>
        </w:rPr>
        <w:t>Ленинск</w:t>
      </w:r>
      <w:r>
        <w:rPr>
          <w:spacing w:val="-4"/>
        </w:rPr>
        <w:t>-Кузнецкого муниципального округа в информационно-телекоммуникационной сети «И</w:t>
      </w:r>
      <w:r>
        <w:rPr>
          <w:spacing w:val="-4"/>
        </w:rPr>
        <w:t>н</w:t>
      </w:r>
      <w:r>
        <w:rPr>
          <w:spacing w:val="-4"/>
        </w:rPr>
        <w:t>тернет».</w:t>
      </w:r>
    </w:p>
    <w:p w14:paraId="25000000">
      <w:pPr>
        <w:widowControl w:val="1"/>
        <w:spacing w:line="360" w:lineRule="auto"/>
        <w:ind w:firstLine="709"/>
        <w:jc w:val="both"/>
        <w:rPr>
          <w:spacing w:val="-4"/>
        </w:rPr>
      </w:pPr>
      <w:r>
        <w:t>6. Контроль за исполнением постановления возложить на</w:t>
      </w:r>
      <w:r>
        <w:t xml:space="preserve"> заместителя главы            Ленинск-Кузнецкого мун</w:t>
      </w:r>
      <w:r>
        <w:t>и</w:t>
      </w:r>
      <w:r>
        <w:t xml:space="preserve">ципального округа по строительству Приступу Ю.Д. </w:t>
      </w:r>
    </w:p>
    <w:p w14:paraId="26000000">
      <w:pPr>
        <w:widowControl w:val="1"/>
        <w:ind/>
        <w:jc w:val="both"/>
      </w:pPr>
    </w:p>
    <w:p w14:paraId="27000000">
      <w:pPr>
        <w:widowControl w:val="1"/>
        <w:ind/>
        <w:jc w:val="both"/>
      </w:pPr>
    </w:p>
    <w:p w14:paraId="28000000">
      <w:pPr>
        <w:widowControl w:val="1"/>
        <w:ind/>
        <w:jc w:val="both"/>
      </w:pPr>
    </w:p>
    <w:tbl>
      <w:tblPr>
        <w:tblStyle w:val="Style_4"/>
        <w:tblW w:type="auto" w:w="0"/>
        <w:tblLayout w:type="fixed"/>
        <w:tblCellMar>
          <w:left w:type="dxa" w:w="0"/>
          <w:right w:type="dxa" w:w="28"/>
        </w:tblCellMar>
      </w:tblPr>
      <w:tblGrid>
        <w:gridCol w:w="3969"/>
        <w:gridCol w:w="5245"/>
      </w:tblGrid>
      <w:tr>
        <w:tc>
          <w:tcPr>
            <w:tcW w:type="dxa" w:w="3969"/>
            <w:tcMar>
              <w:left w:type="dxa" w:w="0"/>
              <w:right w:type="dxa" w:w="28"/>
            </w:tcMar>
          </w:tcPr>
          <w:p w14:paraId="29000000">
            <w:pPr>
              <w:widowControl w:val="1"/>
              <w:ind/>
              <w:jc w:val="center"/>
            </w:pPr>
            <w:r>
              <w:t>Временно исполняющий полномочия главы Л</w:t>
            </w:r>
            <w:r>
              <w:t>е</w:t>
            </w:r>
            <w:r>
              <w:t xml:space="preserve">нинск-Кузнецкого </w:t>
            </w:r>
          </w:p>
          <w:p w14:paraId="2A000000">
            <w:pPr>
              <w:widowControl w:val="1"/>
              <w:ind/>
              <w:jc w:val="center"/>
            </w:pPr>
            <w:r>
              <w:t>муниципального округа</w:t>
            </w:r>
          </w:p>
        </w:tc>
        <w:tc>
          <w:tcPr>
            <w:tcW w:type="dxa" w:w="5245"/>
            <w:tcMar>
              <w:left w:type="dxa" w:w="0"/>
              <w:right w:type="dxa" w:w="28"/>
            </w:tcMar>
          </w:tcPr>
          <w:p w14:paraId="2B000000">
            <w:pPr>
              <w:widowControl w:val="1"/>
              <w:ind/>
              <w:jc w:val="right"/>
            </w:pPr>
          </w:p>
          <w:p w14:paraId="2C000000">
            <w:pPr>
              <w:widowControl w:val="1"/>
              <w:ind/>
              <w:jc w:val="right"/>
            </w:pPr>
          </w:p>
          <w:p w14:paraId="2D000000">
            <w:pPr>
              <w:widowControl w:val="1"/>
              <w:ind/>
              <w:jc w:val="right"/>
            </w:pPr>
            <w:r>
              <w:t>В.П. Мельник</w:t>
            </w:r>
          </w:p>
        </w:tc>
      </w:tr>
    </w:tbl>
    <w:p w14:paraId="2E000000">
      <w:pPr>
        <w:widowControl w:val="1"/>
        <w:ind/>
        <w:jc w:val="both"/>
        <w:rPr>
          <w:sz w:val="28"/>
        </w:rPr>
      </w:pPr>
    </w:p>
    <w:p w14:paraId="2F000000">
      <w:pPr>
        <w:widowControl w:val="1"/>
        <w:ind/>
        <w:jc w:val="both"/>
        <w:rPr>
          <w:sz w:val="28"/>
        </w:rPr>
      </w:pPr>
    </w:p>
    <w:p w14:paraId="30000000">
      <w:pPr>
        <w:widowControl w:val="1"/>
        <w:ind/>
        <w:jc w:val="both"/>
        <w:rPr>
          <w:sz w:val="28"/>
        </w:rPr>
      </w:pPr>
    </w:p>
    <w:p w14:paraId="31000000">
      <w:pPr>
        <w:widowControl w:val="1"/>
        <w:ind/>
        <w:jc w:val="both"/>
      </w:pPr>
    </w:p>
    <w:p w14:paraId="32000000">
      <w:pPr>
        <w:widowControl w:val="1"/>
        <w:ind/>
        <w:jc w:val="both"/>
      </w:pPr>
    </w:p>
    <w:p w14:paraId="33000000">
      <w:pPr>
        <w:widowControl w:val="1"/>
        <w:ind w:right="5075"/>
      </w:pPr>
    </w:p>
    <w:p w14:paraId="34000000">
      <w:pPr>
        <w:widowControl w:val="1"/>
        <w:ind w:right="5075"/>
      </w:pPr>
    </w:p>
    <w:p w14:paraId="35000000">
      <w:pPr>
        <w:widowControl w:val="1"/>
        <w:ind w:right="5075"/>
      </w:pPr>
    </w:p>
    <w:p w14:paraId="36000000">
      <w:pPr>
        <w:widowControl w:val="1"/>
        <w:ind/>
        <w:jc w:val="both"/>
      </w:pPr>
    </w:p>
    <w:p w14:paraId="37000000">
      <w:pPr>
        <w:widowControl w:val="1"/>
        <w:ind/>
        <w:jc w:val="both"/>
      </w:pPr>
    </w:p>
    <w:p w14:paraId="38000000">
      <w:pPr>
        <w:widowControl w:val="1"/>
        <w:ind/>
        <w:jc w:val="both"/>
      </w:pPr>
    </w:p>
    <w:p w14:paraId="39000000">
      <w:pPr>
        <w:widowControl w:val="1"/>
        <w:ind/>
        <w:jc w:val="both"/>
      </w:pPr>
    </w:p>
    <w:p w14:paraId="3A000000">
      <w:pPr>
        <w:widowControl w:val="1"/>
        <w:ind/>
        <w:jc w:val="both"/>
      </w:pPr>
    </w:p>
    <w:p w14:paraId="3B000000">
      <w:pPr>
        <w:widowControl w:val="1"/>
        <w:ind/>
        <w:jc w:val="both"/>
      </w:pPr>
    </w:p>
    <w:p w14:paraId="3C000000">
      <w:pPr>
        <w:widowControl w:val="1"/>
        <w:ind/>
        <w:jc w:val="both"/>
      </w:pPr>
    </w:p>
    <w:p w14:paraId="3D000000">
      <w:pPr>
        <w:widowControl w:val="1"/>
        <w:ind/>
        <w:jc w:val="both"/>
      </w:pPr>
    </w:p>
    <w:p w14:paraId="3E000000">
      <w:pPr>
        <w:widowControl w:val="1"/>
        <w:ind/>
        <w:jc w:val="both"/>
      </w:pPr>
    </w:p>
    <w:p w14:paraId="3F000000">
      <w:pPr>
        <w:widowControl w:val="1"/>
        <w:ind/>
        <w:jc w:val="both"/>
      </w:pPr>
    </w:p>
    <w:p w14:paraId="40000000">
      <w:pPr>
        <w:widowControl w:val="1"/>
        <w:ind/>
        <w:jc w:val="both"/>
      </w:pPr>
    </w:p>
    <w:p w14:paraId="41000000">
      <w:pPr>
        <w:widowControl w:val="1"/>
        <w:ind/>
        <w:jc w:val="both"/>
      </w:pPr>
    </w:p>
    <w:p w14:paraId="42000000">
      <w:pPr>
        <w:widowControl w:val="1"/>
        <w:ind/>
        <w:jc w:val="both"/>
      </w:pPr>
    </w:p>
    <w:p w14:paraId="43000000">
      <w:pPr>
        <w:widowControl w:val="1"/>
        <w:ind/>
        <w:jc w:val="both"/>
      </w:pPr>
    </w:p>
    <w:p w14:paraId="44000000">
      <w:pPr>
        <w:widowControl w:val="1"/>
        <w:ind/>
        <w:jc w:val="both"/>
      </w:pPr>
    </w:p>
    <w:p w14:paraId="45000000">
      <w:pPr>
        <w:widowControl w:val="1"/>
        <w:ind/>
        <w:jc w:val="both"/>
      </w:pPr>
    </w:p>
    <w:p w14:paraId="46000000">
      <w:pPr>
        <w:widowControl w:val="1"/>
        <w:ind/>
        <w:jc w:val="both"/>
      </w:pPr>
    </w:p>
    <w:p w14:paraId="47000000">
      <w:pPr>
        <w:widowControl w:val="1"/>
        <w:ind/>
        <w:jc w:val="both"/>
      </w:pPr>
    </w:p>
    <w:p w14:paraId="48000000">
      <w:pPr>
        <w:widowControl w:val="1"/>
        <w:ind/>
        <w:jc w:val="both"/>
      </w:pPr>
    </w:p>
    <w:p w14:paraId="49000000">
      <w:pPr>
        <w:widowControl w:val="1"/>
        <w:ind/>
        <w:jc w:val="both"/>
      </w:pPr>
    </w:p>
    <w:p w14:paraId="4A000000">
      <w:pPr>
        <w:widowControl w:val="1"/>
        <w:ind/>
        <w:jc w:val="both"/>
      </w:pPr>
    </w:p>
    <w:p w14:paraId="4B000000">
      <w:pPr>
        <w:widowControl w:val="1"/>
        <w:ind/>
        <w:jc w:val="both"/>
      </w:pPr>
    </w:p>
    <w:p w14:paraId="4C000000">
      <w:pPr>
        <w:widowControl w:val="1"/>
        <w:ind/>
        <w:jc w:val="both"/>
      </w:pPr>
    </w:p>
    <w:p w14:paraId="4D000000">
      <w:pPr>
        <w:widowControl w:val="1"/>
        <w:ind/>
        <w:jc w:val="both"/>
      </w:pPr>
    </w:p>
    <w:p w14:paraId="4E000000">
      <w:pPr>
        <w:widowControl w:val="1"/>
        <w:ind/>
        <w:jc w:val="both"/>
      </w:pPr>
    </w:p>
    <w:p w14:paraId="4F000000">
      <w:pPr>
        <w:widowControl w:val="1"/>
        <w:ind/>
        <w:jc w:val="both"/>
      </w:pPr>
    </w:p>
    <w:p w14:paraId="50000000">
      <w:pPr>
        <w:widowControl w:val="1"/>
        <w:ind/>
        <w:jc w:val="both"/>
      </w:pPr>
    </w:p>
    <w:p w14:paraId="51000000">
      <w:pPr>
        <w:widowControl w:val="1"/>
        <w:ind/>
        <w:jc w:val="both"/>
      </w:pPr>
    </w:p>
    <w:p w14:paraId="52000000">
      <w:pPr>
        <w:widowControl w:val="1"/>
        <w:ind/>
        <w:jc w:val="both"/>
      </w:pPr>
    </w:p>
    <w:p w14:paraId="53000000">
      <w:pPr>
        <w:pStyle w:val="Style_6"/>
      </w:pPr>
    </w:p>
    <w:p w14:paraId="54000000">
      <w:pPr>
        <w:pStyle w:val="Style_6"/>
      </w:pPr>
    </w:p>
    <w:p w14:paraId="55000000">
      <w:pPr>
        <w:pStyle w:val="Style_6"/>
      </w:pPr>
    </w:p>
    <w:p w14:paraId="56000000">
      <w:pPr>
        <w:pStyle w:val="Style_6"/>
        <w:widowControl w:val="1"/>
        <w:ind w:right="-29"/>
        <w:jc w:val="both"/>
      </w:pPr>
    </w:p>
    <w:sectPr>
      <w:headerReference r:id="rId3" w:type="default"/>
      <w:headerReference r:id="rId2" w:type="even"/>
      <w:pgSz w:h="16840" w:orient="portrait" w:w="11907"/>
      <w:pgMar w:bottom="1134" w:footer="720" w:gutter="0" w:header="720" w:left="1985" w:right="737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5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7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widowControl w:val="0"/>
      <w:ind/>
    </w:pPr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3" w:type="paragraph">
    <w:name w:val="heading 3"/>
    <w:basedOn w:val="Style_7"/>
    <w:next w:val="Style_7"/>
    <w:link w:val="Style_3_ch"/>
    <w:uiPriority w:val="9"/>
    <w:qFormat/>
    <w:pPr>
      <w:keepNext w:val="1"/>
      <w:widowControl w:val="1"/>
      <w:ind/>
      <w:outlineLvl w:val="2"/>
    </w:pPr>
    <w:rPr>
      <w:sz w:val="24"/>
    </w:rPr>
  </w:style>
  <w:style w:styleId="Style_3_ch" w:type="character">
    <w:name w:val="heading 3"/>
    <w:basedOn w:val="Style_7_ch"/>
    <w:link w:val="Style_3"/>
    <w:rPr>
      <w:sz w:val="24"/>
    </w:rPr>
  </w:style>
  <w:style w:styleId="Style_13" w:type="paragraph">
    <w:name w:val="текст примечания"/>
    <w:basedOn w:val="Style_7"/>
    <w:link w:val="Style_13_ch"/>
  </w:style>
  <w:style w:styleId="Style_13_ch" w:type="character">
    <w:name w:val="текст примечания"/>
    <w:basedOn w:val="Style_7_ch"/>
    <w:link w:val="Style_13"/>
  </w:style>
  <w:style w:styleId="Style_2" w:type="paragraph">
    <w:name w:val="page number"/>
    <w:basedOn w:val="Style_14"/>
    <w:link w:val="Style_2_ch"/>
  </w:style>
  <w:style w:styleId="Style_2_ch" w:type="character">
    <w:name w:val="page number"/>
    <w:basedOn w:val="Style_14_ch"/>
    <w:link w:val="Style_2"/>
  </w:style>
  <w:style w:styleId="Style_15" w:type="paragraph">
    <w:name w:val="Body Text 2"/>
    <w:basedOn w:val="Style_7"/>
    <w:link w:val="Style_15_ch"/>
    <w:pPr>
      <w:widowControl w:val="1"/>
      <w:ind w:right="5075"/>
      <w:jc w:val="both"/>
    </w:pPr>
  </w:style>
  <w:style w:styleId="Style_15_ch" w:type="character">
    <w:name w:val="Body Text 2"/>
    <w:basedOn w:val="Style_7_ch"/>
    <w:link w:val="Style_15"/>
  </w:style>
  <w:style w:styleId="Style_16" w:type="paragraph">
    <w:name w:val="номер страницы"/>
    <w:basedOn w:val="Style_17"/>
    <w:link w:val="Style_16_ch"/>
  </w:style>
  <w:style w:styleId="Style_16_ch" w:type="character">
    <w:name w:val="номер страницы"/>
    <w:basedOn w:val="Style_17_ch"/>
    <w:link w:val="Style_16"/>
  </w:style>
  <w:style w:styleId="Style_18" w:type="paragraph">
    <w:name w:val="toc 3"/>
    <w:next w:val="Style_7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5" w:type="paragraph">
    <w:name w:val="Body Text Indent"/>
    <w:basedOn w:val="Style_7"/>
    <w:link w:val="Style_5_ch"/>
    <w:pPr>
      <w:widowControl w:val="1"/>
      <w:spacing w:line="360" w:lineRule="auto"/>
      <w:ind w:firstLine="709"/>
      <w:jc w:val="both"/>
    </w:pPr>
  </w:style>
  <w:style w:styleId="Style_5_ch" w:type="character">
    <w:name w:val="Body Text Indent"/>
    <w:basedOn w:val="Style_7_ch"/>
    <w:link w:val="Style_5"/>
  </w:style>
  <w:style w:styleId="Style_19" w:type="paragraph">
    <w:name w:val="Стиль2"/>
    <w:basedOn w:val="Style_7"/>
    <w:link w:val="Style_19_ch"/>
  </w:style>
  <w:style w:styleId="Style_19_ch" w:type="character">
    <w:name w:val="Стиль2"/>
    <w:basedOn w:val="Style_7_ch"/>
    <w:link w:val="Style_19"/>
  </w:style>
  <w:style w:styleId="Style_20" w:type="paragraph">
    <w:name w:val="знак примечания"/>
    <w:link w:val="Style_20_ch"/>
    <w:rPr>
      <w:sz w:val="16"/>
    </w:rPr>
  </w:style>
  <w:style w:styleId="Style_20_ch" w:type="character">
    <w:name w:val="знак примечания"/>
    <w:link w:val="Style_20"/>
    <w:rPr>
      <w:sz w:val="16"/>
    </w:rPr>
  </w:style>
  <w:style w:styleId="Style_21" w:type="paragraph">
    <w:name w:val="heading 5"/>
    <w:next w:val="Style_7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basedOn w:val="Style_7"/>
    <w:next w:val="Style_7"/>
    <w:link w:val="Style_22_ch"/>
    <w:uiPriority w:val="9"/>
    <w:qFormat/>
    <w:pPr>
      <w:keepNext w:val="1"/>
      <w:widowControl w:val="1"/>
      <w:tabs>
        <w:tab w:leader="none" w:pos="8931" w:val="left"/>
        <w:tab w:leader="none" w:pos="9071" w:val="left"/>
      </w:tabs>
      <w:spacing w:line="360" w:lineRule="auto"/>
      <w:ind w:firstLine="709"/>
      <w:jc w:val="both"/>
      <w:outlineLvl w:val="0"/>
    </w:pPr>
    <w:rPr>
      <w:sz w:val="24"/>
    </w:rPr>
  </w:style>
  <w:style w:styleId="Style_22_ch" w:type="character">
    <w:name w:val="heading 1"/>
    <w:basedOn w:val="Style_7_ch"/>
    <w:link w:val="Style_22"/>
    <w:rPr>
      <w:sz w:val="24"/>
    </w:rPr>
  </w:style>
  <w:style w:styleId="Style_23" w:type="paragraph">
    <w:name w:val="footer"/>
    <w:basedOn w:val="Style_7"/>
    <w:link w:val="Style_23_ch"/>
    <w:pPr>
      <w:widowControl w:val="1"/>
      <w:tabs>
        <w:tab w:leader="none" w:pos="4536" w:val="center"/>
        <w:tab w:leader="none" w:pos="9072" w:val="right"/>
      </w:tabs>
      <w:ind/>
    </w:pPr>
  </w:style>
  <w:style w:styleId="Style_23_ch" w:type="character">
    <w:name w:val="footer"/>
    <w:basedOn w:val="Style_7_ch"/>
    <w:link w:val="Style_23"/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7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6" w:type="paragraph">
    <w:name w:val="Стиль4"/>
    <w:basedOn w:val="Style_7"/>
    <w:link w:val="Style_6_ch"/>
  </w:style>
  <w:style w:styleId="Style_6_ch" w:type="character">
    <w:name w:val="Стиль4"/>
    <w:basedOn w:val="Style_7_ch"/>
    <w:link w:val="Style_6"/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Balloon Text"/>
    <w:basedOn w:val="Style_7"/>
    <w:link w:val="Style_28_ch"/>
    <w:rPr>
      <w:rFonts w:ascii="Tahoma" w:hAnsi="Tahoma"/>
      <w:sz w:val="16"/>
    </w:rPr>
  </w:style>
  <w:style w:styleId="Style_28_ch" w:type="character">
    <w:name w:val="Balloon Text"/>
    <w:basedOn w:val="Style_7_ch"/>
    <w:link w:val="Style_28"/>
    <w:rPr>
      <w:rFonts w:ascii="Tahoma" w:hAnsi="Tahoma"/>
      <w:sz w:val="16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9" w:type="paragraph">
    <w:name w:val="toc 9"/>
    <w:next w:val="Style_7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7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7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1" w:type="paragraph">
    <w:name w:val="header"/>
    <w:basedOn w:val="Style_7"/>
    <w:link w:val="Style_1_ch"/>
    <w:pPr>
      <w:widowControl w:val="1"/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7_ch"/>
    <w:link w:val="Style_1"/>
  </w:style>
  <w:style w:styleId="Style_32" w:type="paragraph">
    <w:name w:val="Subtitle"/>
    <w:next w:val="Style_7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Body Text"/>
    <w:basedOn w:val="Style_7"/>
    <w:link w:val="Style_33_ch"/>
    <w:pPr>
      <w:widowControl w:val="1"/>
      <w:spacing w:after="120"/>
      <w:ind/>
    </w:pPr>
  </w:style>
  <w:style w:styleId="Style_33_ch" w:type="character">
    <w:name w:val="Body Text"/>
    <w:basedOn w:val="Style_7_ch"/>
    <w:link w:val="Style_33"/>
  </w:style>
  <w:style w:styleId="Style_34" w:type="paragraph">
    <w:name w:val="Title"/>
    <w:next w:val="Style_7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basedOn w:val="Style_7"/>
    <w:next w:val="Style_7"/>
    <w:link w:val="Style_35_ch"/>
    <w:uiPriority w:val="9"/>
    <w:qFormat/>
    <w:pPr>
      <w:keepNext w:val="1"/>
      <w:widowControl w:val="1"/>
      <w:ind/>
      <w:jc w:val="both"/>
      <w:outlineLvl w:val="3"/>
    </w:pPr>
    <w:rPr>
      <w:sz w:val="24"/>
    </w:rPr>
  </w:style>
  <w:style w:styleId="Style_35_ch" w:type="character">
    <w:name w:val="heading 4"/>
    <w:basedOn w:val="Style_7_ch"/>
    <w:link w:val="Style_35"/>
    <w:rPr>
      <w:sz w:val="24"/>
    </w:rPr>
  </w:style>
  <w:style w:styleId="Style_36" w:type="paragraph">
    <w:name w:val="heading 2"/>
    <w:basedOn w:val="Style_7"/>
    <w:next w:val="Style_7"/>
    <w:link w:val="Style_36_ch"/>
    <w:uiPriority w:val="9"/>
    <w:qFormat/>
    <w:pPr>
      <w:keepNext w:val="1"/>
      <w:widowControl w:val="1"/>
      <w:tabs>
        <w:tab w:leader="none" w:pos="8931" w:val="left"/>
      </w:tabs>
      <w:ind w:right="5075"/>
      <w:jc w:val="both"/>
      <w:outlineLvl w:val="1"/>
    </w:pPr>
    <w:rPr>
      <w:sz w:val="24"/>
    </w:rPr>
  </w:style>
  <w:style w:styleId="Style_36_ch" w:type="character">
    <w:name w:val="heading 2"/>
    <w:basedOn w:val="Style_7_ch"/>
    <w:link w:val="Style_36"/>
    <w:rPr>
      <w:sz w:val="24"/>
    </w:rPr>
  </w:style>
  <w:style w:styleId="Style_17" w:type="paragraph">
    <w:name w:val="Основной шрифт"/>
    <w:link w:val="Style_17_ch"/>
  </w:style>
  <w:style w:styleId="Style_17_ch" w:type="character">
    <w:name w:val="Основной шрифт"/>
    <w:link w:val="Style_17"/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Table Grid"/>
    <w:basedOn w:val="Style_4"/>
    <w:pPr>
      <w:widowControl w:val="0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header4.xml" Type="http://schemas.openxmlformats.org/officeDocument/2006/relationships/header"/>
  <Relationship Id="rId1" Target="header1.xml" Type="http://schemas.openxmlformats.org/officeDocument/2006/relationships/header"/>
  <Relationship Id="rId8" Target="styles.xml" Type="http://schemas.openxmlformats.org/officeDocument/2006/relationships/styles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5" Target="media/1.jpeg" Type="http://schemas.openxmlformats.org/officeDocument/2006/relationships/image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stylesWithEffects.xml" Type="http://schemas.microsoft.com/office/2007/relationships/stylesWithEffects"/>
  <Relationship Id="rId6" Target="fontTable.xml" Type="http://schemas.openxmlformats.org/officeDocument/2006/relationships/fontTable"/>
  <Relationship Id="rId11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2026-05-18T02:43:28Z</dcterms:created>
  <dcterms:modified xsi:type="dcterms:W3CDTF">2026-05-18T02:43:28Z</dcterms:modified>
</cp:coreProperties>
</file>